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DD" w:rsidRDefault="00A829DD" w:rsidP="00A948CE">
      <w:pPr>
        <w:shd w:val="clear" w:color="auto" w:fill="FFFFFF"/>
        <w:spacing w:after="0" w:line="240" w:lineRule="auto"/>
        <w:jc w:val="center"/>
        <w:textAlignment w:val="baseline"/>
        <w:rPr>
          <w:rFonts w:ascii="Arial" w:eastAsia="Times New Roman" w:hAnsi="Arial" w:cs="Arial"/>
          <w:b/>
          <w:bCs/>
          <w:color w:val="555555"/>
          <w:sz w:val="20"/>
          <w:szCs w:val="20"/>
          <w:bdr w:val="none" w:sz="0" w:space="0" w:color="auto" w:frame="1"/>
          <w:lang w:eastAsia="pt-BR"/>
        </w:rPr>
      </w:pP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829DD">
        <w:rPr>
          <w:rFonts w:ascii="Arial" w:eastAsia="Times New Roman" w:hAnsi="Arial" w:cs="Arial"/>
          <w:b/>
          <w:bCs/>
          <w:sz w:val="20"/>
          <w:szCs w:val="20"/>
          <w:bdr w:val="none" w:sz="0" w:space="0" w:color="auto" w:frame="1"/>
          <w:lang w:eastAsia="pt-BR"/>
        </w:rPr>
        <w:t>PRESIDÊNCIA DA REPÚBLICA</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829DD">
        <w:rPr>
          <w:rFonts w:ascii="Arial" w:eastAsia="Times New Roman" w:hAnsi="Arial" w:cs="Arial"/>
          <w:b/>
          <w:bCs/>
          <w:sz w:val="20"/>
          <w:szCs w:val="20"/>
          <w:bdr w:val="none" w:sz="0" w:space="0" w:color="auto" w:frame="1"/>
          <w:lang w:eastAsia="pt-BR"/>
        </w:rPr>
        <w:t>AUTORIDADE NACIONAL DE PROTEÇÃO DE DADOS</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MINUTA DE RESOLUÇÃO XXX DE 2021</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jc w:val="right"/>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Regulamenta a aplicação da Lei nº 13.709, de 14 de agosto de 2018, a Lei Geral de Proteção de Dados Pessoais (LGPD), para agentes de tratamento de pequeno porte.</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ind w:left="900"/>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xml:space="preserve">O CONSELHO DIRETOR DA AUTORIDADE NACIONAL DE PROTEÇÃO DE DADOS (ANPD), com base nas competências previstas no art. 55-J, inciso XVIII, da Lei nº 13.709, de 14 de agosto de 2018, no art. 2º, inciso XVIII, do Anexo I do Decreto nº 10.474, de 26 de agosto de 2020, no art. 5º, inciso I do Regimento Interno da ANPD, tendo em vista a deliberação tomada em sua Reunião Deliberativa nº </w:t>
      </w:r>
      <w:proofErr w:type="spellStart"/>
      <w:r w:rsidRPr="00A948CE">
        <w:rPr>
          <w:rFonts w:ascii="Arial" w:eastAsia="Times New Roman" w:hAnsi="Arial" w:cs="Arial"/>
          <w:sz w:val="20"/>
          <w:szCs w:val="20"/>
          <w:lang w:eastAsia="pt-BR"/>
        </w:rPr>
        <w:t>xxxx</w:t>
      </w:r>
      <w:proofErr w:type="spellEnd"/>
      <w:r w:rsidRPr="00A948CE">
        <w:rPr>
          <w:rFonts w:ascii="Arial" w:eastAsia="Times New Roman" w:hAnsi="Arial" w:cs="Arial"/>
          <w:sz w:val="20"/>
          <w:szCs w:val="20"/>
          <w:lang w:eastAsia="pt-BR"/>
        </w:rPr>
        <w:t xml:space="preserve">, realizada em </w:t>
      </w:r>
      <w:proofErr w:type="spellStart"/>
      <w:r w:rsidRPr="00A948CE">
        <w:rPr>
          <w:rFonts w:ascii="Arial" w:eastAsia="Times New Roman" w:hAnsi="Arial" w:cs="Arial"/>
          <w:sz w:val="20"/>
          <w:szCs w:val="20"/>
          <w:lang w:eastAsia="pt-BR"/>
        </w:rPr>
        <w:t>xx</w:t>
      </w:r>
      <w:proofErr w:type="spellEnd"/>
      <w:r w:rsidRPr="00A948CE">
        <w:rPr>
          <w:rFonts w:ascii="Arial" w:eastAsia="Times New Roman" w:hAnsi="Arial" w:cs="Arial"/>
          <w:sz w:val="20"/>
          <w:szCs w:val="20"/>
          <w:lang w:eastAsia="pt-BR"/>
        </w:rPr>
        <w:t xml:space="preserve"> de </w:t>
      </w:r>
      <w:proofErr w:type="spellStart"/>
      <w:r w:rsidRPr="00A948CE">
        <w:rPr>
          <w:rFonts w:ascii="Arial" w:eastAsia="Times New Roman" w:hAnsi="Arial" w:cs="Arial"/>
          <w:sz w:val="20"/>
          <w:szCs w:val="20"/>
          <w:lang w:eastAsia="pt-BR"/>
        </w:rPr>
        <w:t>xxx</w:t>
      </w:r>
      <w:proofErr w:type="spellEnd"/>
      <w:r w:rsidRPr="00A948CE">
        <w:rPr>
          <w:rFonts w:ascii="Arial" w:eastAsia="Times New Roman" w:hAnsi="Arial" w:cs="Arial"/>
          <w:sz w:val="20"/>
          <w:szCs w:val="20"/>
          <w:lang w:eastAsia="pt-BR"/>
        </w:rPr>
        <w:t xml:space="preserve"> de 2021 e pelo que consta no processo 00261.000054/2021-37,</w:t>
      </w:r>
    </w:p>
    <w:p w:rsidR="00A948CE" w:rsidRPr="00A948CE" w:rsidRDefault="00A948CE" w:rsidP="00A948CE">
      <w:pPr>
        <w:shd w:val="clear" w:color="auto" w:fill="FFFFFF"/>
        <w:spacing w:after="0" w:line="240" w:lineRule="auto"/>
        <w:jc w:val="both"/>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RESOLVE:</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TÍTULO I</w:t>
      </w:r>
      <w:r w:rsidRPr="00A948CE">
        <w:rPr>
          <w:rFonts w:ascii="Arial" w:eastAsia="Times New Roman" w:hAnsi="Arial" w:cs="Arial"/>
          <w:sz w:val="20"/>
          <w:szCs w:val="20"/>
          <w:lang w:eastAsia="pt-BR"/>
        </w:rPr>
        <w:br/>
        <w:t>DISPOSIÇÕES GERAIS</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br/>
        <w:t>CAPÍTULO I</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DISPOSIÇÕES PRELIMINARES</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1º Esta resolução regulamenta a aplicação da Lei nº 13.709, de 14 de agosto de 2018, a Lei Geral de Proteção de Dados Pessoais (LGPD), para agentes de tratamento de pequeno porte.</w:t>
      </w:r>
    </w:p>
    <w:p w:rsidR="00A948CE" w:rsidRPr="00A948CE" w:rsidRDefault="00A948CE" w:rsidP="00A948CE">
      <w:pPr>
        <w:shd w:val="clear" w:color="auto" w:fill="FFFFFF"/>
        <w:spacing w:after="0" w:line="240" w:lineRule="auto"/>
        <w:jc w:val="both"/>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CAPÍTULO II</w:t>
      </w:r>
      <w:r w:rsidRPr="00A948CE">
        <w:rPr>
          <w:rFonts w:ascii="Arial" w:eastAsia="Times New Roman" w:hAnsi="Arial" w:cs="Arial"/>
          <w:sz w:val="20"/>
          <w:szCs w:val="20"/>
          <w:lang w:eastAsia="pt-BR"/>
        </w:rPr>
        <w:br/>
        <w:t>DAS DEFINIÇÕES</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2º Para efeitos desta resolução são adotadas as seguintes definições:</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xml:space="preserve">I - </w:t>
      </w:r>
      <w:proofErr w:type="gramStart"/>
      <w:r w:rsidRPr="00A948CE">
        <w:rPr>
          <w:rFonts w:ascii="Arial" w:eastAsia="Times New Roman" w:hAnsi="Arial" w:cs="Arial"/>
          <w:sz w:val="20"/>
          <w:szCs w:val="20"/>
          <w:lang w:eastAsia="pt-BR"/>
        </w:rPr>
        <w:t>microempresas e empresas</w:t>
      </w:r>
      <w:proofErr w:type="gramEnd"/>
      <w:r w:rsidRPr="00A948CE">
        <w:rPr>
          <w:rFonts w:ascii="Arial" w:eastAsia="Times New Roman" w:hAnsi="Arial" w:cs="Arial"/>
          <w:sz w:val="20"/>
          <w:szCs w:val="20"/>
          <w:lang w:eastAsia="pt-BR"/>
        </w:rPr>
        <w:t xml:space="preserve"> de pequeno porte: sociedade empresária, sociedade simples, empresa individual de responsabilidade limitada e o empresário a que se refere o art. 966 da Lei nº 10.406, de 10 de janeiro de 2002 (Código Civil), incluído o microempreendedor individual, devidamente registrados no Registro de Empresas Mercantis ou no Registro Civil de Pessoas Jurídicas, que se enquadre nos termos do art. 3º da Lei Complementar nº 123, de 14 de dezembro de 2006;</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II - </w:t>
      </w:r>
      <w:proofErr w:type="gramStart"/>
      <w:r w:rsidRPr="00A948CE">
        <w:rPr>
          <w:rFonts w:ascii="Arial" w:eastAsia="Times New Roman" w:hAnsi="Arial" w:cs="Arial"/>
          <w:sz w:val="20"/>
          <w:szCs w:val="20"/>
          <w:lang w:eastAsia="pt-BR"/>
        </w:rPr>
        <w:t>startups</w:t>
      </w:r>
      <w:proofErr w:type="gramEnd"/>
      <w:r w:rsidRPr="00A948CE">
        <w:rPr>
          <w:rFonts w:ascii="Arial" w:eastAsia="Times New Roman" w:hAnsi="Arial" w:cs="Arial"/>
          <w:sz w:val="20"/>
          <w:szCs w:val="20"/>
          <w:lang w:eastAsia="pt-BR"/>
        </w:rPr>
        <w:t>: organizações empresariais ou societárias, nascentes ou em operação recente, cuja atuação caracteriza-se pela inovação aplicada a modelo de negócios ou a produtos ou serviços ofertados, que atendam aos critérios previstos no § 1º do art. 4º da Lei Complementar nº 182, de 1º de junho de 2021;</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xml:space="preserve">III - pessoas jurídicas sem fins lucrativos: associações, fundações, organizações religiosas e </w:t>
      </w:r>
      <w:proofErr w:type="gramStart"/>
      <w:r w:rsidRPr="00A948CE">
        <w:rPr>
          <w:rFonts w:ascii="Arial" w:eastAsia="Times New Roman" w:hAnsi="Arial" w:cs="Arial"/>
          <w:sz w:val="20"/>
          <w:szCs w:val="20"/>
          <w:lang w:eastAsia="pt-BR"/>
        </w:rPr>
        <w:t>partidos</w:t>
      </w:r>
      <w:proofErr w:type="gramEnd"/>
      <w:r w:rsidRPr="00A948CE">
        <w:rPr>
          <w:rFonts w:ascii="Arial" w:eastAsia="Times New Roman" w:hAnsi="Arial" w:cs="Arial"/>
          <w:sz w:val="20"/>
          <w:szCs w:val="20"/>
          <w:lang w:eastAsia="pt-BR"/>
        </w:rPr>
        <w:t xml:space="preserve"> políticos;</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xml:space="preserve">IV - </w:t>
      </w:r>
      <w:proofErr w:type="gramStart"/>
      <w:r w:rsidRPr="00A948CE">
        <w:rPr>
          <w:rFonts w:ascii="Arial" w:eastAsia="Times New Roman" w:hAnsi="Arial" w:cs="Arial"/>
          <w:sz w:val="20"/>
          <w:szCs w:val="20"/>
          <w:lang w:eastAsia="pt-BR"/>
        </w:rPr>
        <w:t>agentes</w:t>
      </w:r>
      <w:proofErr w:type="gramEnd"/>
      <w:r w:rsidRPr="00A948CE">
        <w:rPr>
          <w:rFonts w:ascii="Arial" w:eastAsia="Times New Roman" w:hAnsi="Arial" w:cs="Arial"/>
          <w:sz w:val="20"/>
          <w:szCs w:val="20"/>
          <w:lang w:eastAsia="pt-BR"/>
        </w:rPr>
        <w:t xml:space="preserve"> de tratamento de pequeno porte: microempresas, empresas de pequeno porte, startups e pessoas jurídicas sem fins lucrativos, que tratam dados pessoais, e pessoas naturais e entes despersonalizados que realizam tratamento de dados pessoais, assumindo obrigações típicas de controlador ou de operador;</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lastRenderedPageBreak/>
        <w:t xml:space="preserve">V - </w:t>
      </w:r>
      <w:proofErr w:type="gramStart"/>
      <w:r w:rsidRPr="00A948CE">
        <w:rPr>
          <w:rFonts w:ascii="Arial" w:eastAsia="Times New Roman" w:hAnsi="Arial" w:cs="Arial"/>
          <w:sz w:val="20"/>
          <w:szCs w:val="20"/>
          <w:lang w:eastAsia="pt-BR"/>
        </w:rPr>
        <w:t>zonas</w:t>
      </w:r>
      <w:proofErr w:type="gramEnd"/>
      <w:r w:rsidRPr="00A948CE">
        <w:rPr>
          <w:rFonts w:ascii="Arial" w:eastAsia="Times New Roman" w:hAnsi="Arial" w:cs="Arial"/>
          <w:sz w:val="20"/>
          <w:szCs w:val="20"/>
          <w:lang w:eastAsia="pt-BR"/>
        </w:rPr>
        <w:t xml:space="preserve"> acessíveis ao público: espaços abertos ao público, como praças, centros comerciais, vias públicas, estações de ônibus e de trem, aeroportos, portos, bibliotecas públicas, dentre outros.</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Parágrafo único. Para fins desta resolução, consideram-se, ainda, agentes de tratamento de pequeno porte, os que possuem receita bruta máxima estabelecida no art. 4º, §1º, inciso I, da Lei Complementar nº 182, de 1º de junho de 2021.</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3º   A dispensa e a flexibilização das obrigações previstas nesta resolução não são aplicáveis a agentes de tratamento de pequeno porte que realizem tratamento de alto risco e em larga escala para os titulares, ressalvada a hipótese prevista no art. 13, Parágrafo único.</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§1º Para fins desta resolução, será considerado tratamento de alto risco para os titulares, entre outras hipóteses, o tratamento que envolva:</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xml:space="preserve">I - </w:t>
      </w:r>
      <w:proofErr w:type="gramStart"/>
      <w:r w:rsidRPr="00A948CE">
        <w:rPr>
          <w:rFonts w:ascii="Arial" w:eastAsia="Times New Roman" w:hAnsi="Arial" w:cs="Arial"/>
          <w:sz w:val="20"/>
          <w:szCs w:val="20"/>
          <w:lang w:eastAsia="pt-BR"/>
        </w:rPr>
        <w:t>dados</w:t>
      </w:r>
      <w:proofErr w:type="gramEnd"/>
      <w:r w:rsidRPr="00A948CE">
        <w:rPr>
          <w:rFonts w:ascii="Arial" w:eastAsia="Times New Roman" w:hAnsi="Arial" w:cs="Arial"/>
          <w:sz w:val="20"/>
          <w:szCs w:val="20"/>
          <w:lang w:eastAsia="pt-BR"/>
        </w:rPr>
        <w:t xml:space="preserve"> sensíveis ou dados de grupos vulneráveis, incluindo crianças e adolescentes e idosos;</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II - </w:t>
      </w:r>
      <w:proofErr w:type="gramStart"/>
      <w:r w:rsidRPr="00A948CE">
        <w:rPr>
          <w:rFonts w:ascii="Arial" w:eastAsia="Times New Roman" w:hAnsi="Arial" w:cs="Arial"/>
          <w:sz w:val="20"/>
          <w:szCs w:val="20"/>
          <w:lang w:eastAsia="pt-BR"/>
        </w:rPr>
        <w:t>vigilância</w:t>
      </w:r>
      <w:proofErr w:type="gramEnd"/>
      <w:r w:rsidRPr="00A948CE">
        <w:rPr>
          <w:rFonts w:ascii="Arial" w:eastAsia="Times New Roman" w:hAnsi="Arial" w:cs="Arial"/>
          <w:sz w:val="20"/>
          <w:szCs w:val="20"/>
          <w:lang w:eastAsia="pt-BR"/>
        </w:rPr>
        <w:t xml:space="preserve"> ou controle de zonas acessíveis ao público;</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III - uso de tecnologias emergentes, que possam ocasionar danos materiais ou morais aos titulares, tais como discriminação, violação do direito à imagem e à reputação, fraudes financeiras e roubo de identidade; ou</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IV - </w:t>
      </w:r>
      <w:proofErr w:type="gramStart"/>
      <w:r w:rsidRPr="00A948CE">
        <w:rPr>
          <w:rFonts w:ascii="Arial" w:eastAsia="Times New Roman" w:hAnsi="Arial" w:cs="Arial"/>
          <w:sz w:val="20"/>
          <w:szCs w:val="20"/>
          <w:lang w:eastAsia="pt-BR"/>
        </w:rPr>
        <w:t>tratamento</w:t>
      </w:r>
      <w:proofErr w:type="gramEnd"/>
      <w:r w:rsidRPr="00A948CE">
        <w:rPr>
          <w:rFonts w:ascii="Arial" w:eastAsia="Times New Roman" w:hAnsi="Arial" w:cs="Arial"/>
          <w:sz w:val="20"/>
          <w:szCs w:val="20"/>
          <w:lang w:eastAsia="pt-BR"/>
        </w:rPr>
        <w:t xml:space="preserve"> automatizado de dados pessoais que afetem os interesses dos titulares, incluídas as decisões destinadas a definir o seu perfil pessoal, profissional, de consumo e de crédito ou os aspectos de sua personalidade.</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2º O tratamento de dados será caracterizado como de larga escala quando abranger número significativo de titulares, considerando-se, ainda, o volume de dados envolvidos, bem como a duração, a frequência e a extensão geográfica do tratamento realizado.</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3º Para fins deste artigo não será considerado tratamento de larga escala o tratamento de dados de funcionários ou para fins exclusivos de gestão administrativa do agente de tratamento de pequeno porte.</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4º A ANPD disponibilizará guias e orientações que auxiliem os agentes de tratamento de pequeno porte a avaliar se realizam tratamento com alto risco e em larga escala.</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4º </w:t>
      </w:r>
      <w:proofErr w:type="gramStart"/>
      <w:r w:rsidRPr="00A948CE">
        <w:rPr>
          <w:rFonts w:ascii="Arial" w:eastAsia="Times New Roman" w:hAnsi="Arial" w:cs="Arial"/>
          <w:sz w:val="20"/>
          <w:szCs w:val="20"/>
          <w:lang w:eastAsia="pt-BR"/>
        </w:rPr>
        <w:t>  Caberá</w:t>
      </w:r>
      <w:proofErr w:type="gramEnd"/>
      <w:r w:rsidRPr="00A948CE">
        <w:rPr>
          <w:rFonts w:ascii="Arial" w:eastAsia="Times New Roman" w:hAnsi="Arial" w:cs="Arial"/>
          <w:sz w:val="20"/>
          <w:szCs w:val="20"/>
          <w:lang w:eastAsia="pt-BR"/>
        </w:rPr>
        <w:t xml:space="preserve"> ao agente de tratamento de pequeno porte avaliar e, quando solicitado pela ANPD, comprovar o seu enquadramento nas disposições do art. 2º e do art. 3º.</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Parágrafo único. A ANPD poderá alterar o enquadramento apresentado pelo agente de tratamento de pequeno porte em sua atividade fiscalizatória.</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TÍTULO II</w:t>
      </w:r>
      <w:r w:rsidRPr="00A948CE">
        <w:rPr>
          <w:rFonts w:ascii="Arial" w:eastAsia="Times New Roman" w:hAnsi="Arial" w:cs="Arial"/>
          <w:sz w:val="20"/>
          <w:szCs w:val="20"/>
          <w:lang w:eastAsia="pt-BR"/>
        </w:rPr>
        <w:br/>
        <w:t>DO TRATAMENTO DE DADOS PESSOAIS PELOS AGENTES DE TRATAMENTO DE PEQUENO PORTE</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CAPÍTULO I</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DAS DISPOSIÇÕES GERAIS</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5º   A dispensa ou flexibilização das obrigações dispostas nesta resolução não isenta, em qualquer caso, os agentes de tratamento de pequeno porte do cumprimento de outras disposições legais e regulamentares relativas à proteção de dados pessoais.</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CAPÍTULO II</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DAS OBRIGAÇÕES DO AGENTE DE TRATAMENTO DE PEQUENO PORTE</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br/>
        <w:t>Seção I</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Das obrigações relacionadas aos direitos do titular</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jc w:val="right"/>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6º </w:t>
      </w:r>
      <w:proofErr w:type="gramStart"/>
      <w:r w:rsidRPr="00A948CE">
        <w:rPr>
          <w:rFonts w:ascii="Arial" w:eastAsia="Times New Roman" w:hAnsi="Arial" w:cs="Arial"/>
          <w:sz w:val="20"/>
          <w:szCs w:val="20"/>
          <w:lang w:eastAsia="pt-BR"/>
        </w:rPr>
        <w:t>  Os</w:t>
      </w:r>
      <w:proofErr w:type="gramEnd"/>
      <w:r w:rsidRPr="00A948CE">
        <w:rPr>
          <w:rFonts w:ascii="Arial" w:eastAsia="Times New Roman" w:hAnsi="Arial" w:cs="Arial"/>
          <w:sz w:val="20"/>
          <w:szCs w:val="20"/>
          <w:lang w:eastAsia="pt-BR"/>
        </w:rPr>
        <w:t xml:space="preserve"> agentes de tratamento de pequeno porte podem atender às requisições dos titulares de dados pessoais, descritas no art. 18 da LGPD, por meio eletrônico ou impresso.</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§1º Os agentes de tratamento de pequeno porte estão dispensados de conferir portabilidade dos dados do titular a outro fornecedor de serviço ou produto, nos termos do inciso V do art. 18 da LGPD.</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xml:space="preserve">§2º É facultado ao agente de tratamento de pequeno porte, quando solicitado pelo titular de dados, optar entre </w:t>
      </w:r>
      <w:proofErr w:type="spellStart"/>
      <w:r w:rsidRPr="00A948CE">
        <w:rPr>
          <w:rFonts w:ascii="Arial" w:eastAsia="Times New Roman" w:hAnsi="Arial" w:cs="Arial"/>
          <w:sz w:val="20"/>
          <w:szCs w:val="20"/>
          <w:lang w:eastAsia="pt-BR"/>
        </w:rPr>
        <w:t>anonimizar</w:t>
      </w:r>
      <w:proofErr w:type="spellEnd"/>
      <w:r w:rsidRPr="00A948CE">
        <w:rPr>
          <w:rFonts w:ascii="Arial" w:eastAsia="Times New Roman" w:hAnsi="Arial" w:cs="Arial"/>
          <w:sz w:val="20"/>
          <w:szCs w:val="20"/>
          <w:lang w:eastAsia="pt-BR"/>
        </w:rPr>
        <w:t>, bloquear ou eliminar os dados desnecessários, excessivos ou tratados em desconformidade com o disposto na LGPD, na forma do art. 18, inciso IV, da LGPD.</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7º </w:t>
      </w:r>
      <w:proofErr w:type="gramStart"/>
      <w:r w:rsidRPr="00A948CE">
        <w:rPr>
          <w:rFonts w:ascii="Arial" w:eastAsia="Times New Roman" w:hAnsi="Arial" w:cs="Arial"/>
          <w:sz w:val="20"/>
          <w:szCs w:val="20"/>
          <w:lang w:eastAsia="pt-BR"/>
        </w:rPr>
        <w:t>  Os</w:t>
      </w:r>
      <w:proofErr w:type="gramEnd"/>
      <w:r w:rsidRPr="00A948CE">
        <w:rPr>
          <w:rFonts w:ascii="Arial" w:eastAsia="Times New Roman" w:hAnsi="Arial" w:cs="Arial"/>
          <w:sz w:val="20"/>
          <w:szCs w:val="20"/>
          <w:lang w:eastAsia="pt-BR"/>
        </w:rPr>
        <w:t xml:space="preserve"> agentes de tratamento de pequeno porte ficam dispensados de fornecer a declaração clara e completa de que trata o art. 19, inciso II, da LGPD.</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8º   A disponibilização das informações sobre o tratamento de dados pessoais, nos termos do art. 9º da LGPD, pode ocorrer por meio eletrônico ou por qualquer outra forma que assegure o acesso facilitado às informações pelo titular dos dados pessoais.</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9º </w:t>
      </w:r>
      <w:proofErr w:type="gramStart"/>
      <w:r w:rsidRPr="00A948CE">
        <w:rPr>
          <w:rFonts w:ascii="Arial" w:eastAsia="Times New Roman" w:hAnsi="Arial" w:cs="Arial"/>
          <w:sz w:val="20"/>
          <w:szCs w:val="20"/>
          <w:lang w:eastAsia="pt-BR"/>
        </w:rPr>
        <w:t>  Fica</w:t>
      </w:r>
      <w:proofErr w:type="gramEnd"/>
      <w:r w:rsidRPr="00A948CE">
        <w:rPr>
          <w:rFonts w:ascii="Arial" w:eastAsia="Times New Roman" w:hAnsi="Arial" w:cs="Arial"/>
          <w:sz w:val="20"/>
          <w:szCs w:val="20"/>
          <w:lang w:eastAsia="pt-BR"/>
        </w:rPr>
        <w:t xml:space="preserve"> facultado aos agentes de tratamento de pequeno porte, inclusive àqueles que realizam tratamento de alto risco e em larga escala, fazerem-se representar por entidades de representação da atividade empresarial, por pessoas jurídicas ou por pessoas naturais para fins de negociação, mediação e conciliação de reclamações apresentadas por titulares de dados.</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Parágrafo único. A assessoria também poderá ser prestada por pessoas jurídicas sem fins lucrativos e pessoas naturais.</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Seção II</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Do Registro das Atividades de Tratamento</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jc w:val="right"/>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ind w:left="150"/>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10.   Os agentes de tratamento de pequeno porte ficam dispensados da obrigação de manutenção de registros das operações de tratamento de dados pessoais constante do art. 37 da LGPD.</w:t>
      </w:r>
    </w:p>
    <w:p w:rsidR="00A948CE" w:rsidRPr="00A948CE" w:rsidRDefault="00A948CE" w:rsidP="00A948CE">
      <w:pPr>
        <w:shd w:val="clear" w:color="auto" w:fill="FFFFFF"/>
        <w:spacing w:after="240" w:line="240" w:lineRule="auto"/>
        <w:ind w:left="150"/>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Parágrafo único. A ANPD fornecerá modelos para o registro voluntário e simplificado das atividades de tratamento por agentes de tratamento de pequeno porte, e considerará a existência de tais registros para fins do disposto no art. 6º, inciso X e no art. 52, §1º, incisos VIII e IX da LGPD.</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Seção III</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Do Relatório de Impacto à Proteção de Dados Pessoais</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11.   Os agentes de tratamento de pequeno porte podem apresentar o relatório de impacto à proteção de dados pessoais de forma simplificada quando for exigido, nos termos da resolução específica.</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Seção IV</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Das Comunicações dos Incidentes de Segurança</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12.   A ANPD poderá dispor sobre dispensa, flexibilização ou procedimento simplificado de comunicação de incidente de segurança para agentes de tratamento de pequeno porte, nos termos da resolução específica.</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Seção V </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Do Encarregado pelo Tratamento de Dados Pessoais</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13.   Os agentes de tratamento de pequeno porte não são obrigados a indicar o encarregado pelo tratamento de dados pessoais exigido no art. 41 da LGPD.</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Parágrafo único. O agente de tratamento de pequeno porte que não indicar um encarregado deve disponibilizar um canal de comunicação com o titular de dados.</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Seção VI</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Da Segurança e das Boas Práticas</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14.   Os agentes de tratamento de pequeno porte devem adotar medidas administrativas e técnicas essenciais e necessárias, com base em requisitos mínimos de segurança da informação para proteção dos dados pessoais, considerando, ainda, o nível de risco à privacidade dos titulares de dados e a realidade do agente de tratamento.</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xml:space="preserve">Parágrafo único. A ANPD disponibilizará guia </w:t>
      </w:r>
      <w:proofErr w:type="spellStart"/>
      <w:r w:rsidRPr="00A948CE">
        <w:rPr>
          <w:rFonts w:ascii="Arial" w:eastAsia="Times New Roman" w:hAnsi="Arial" w:cs="Arial"/>
          <w:sz w:val="20"/>
          <w:szCs w:val="20"/>
          <w:lang w:eastAsia="pt-BR"/>
        </w:rPr>
        <w:t>orientativo</w:t>
      </w:r>
      <w:proofErr w:type="spellEnd"/>
      <w:r w:rsidRPr="00A948CE">
        <w:rPr>
          <w:rFonts w:ascii="Arial" w:eastAsia="Times New Roman" w:hAnsi="Arial" w:cs="Arial"/>
          <w:sz w:val="20"/>
          <w:szCs w:val="20"/>
          <w:lang w:eastAsia="pt-BR"/>
        </w:rPr>
        <w:t xml:space="preserve"> sobre segurança da informação para agentes de tratamento de pequeno porte.</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15.   Os agentes de tratamento de pequeno porte podem estabelecer política simplificada de segurança da informação, que contemple requisitos essenciais para o tratamento de dados pessoais, com o objetivo de protegê-los de acessos não autorizados e de situações acidentais ou ilícitas de destruição, perda, alteração, comunicação ou qualquer forma de t</w:t>
      </w:r>
      <w:r w:rsidRPr="00A829DD">
        <w:rPr>
          <w:rFonts w:ascii="Arial" w:eastAsia="Times New Roman" w:hAnsi="Arial" w:cs="Arial"/>
          <w:sz w:val="20"/>
          <w:szCs w:val="20"/>
          <w:lang w:eastAsia="pt-BR"/>
        </w:rPr>
        <w:t>ratamento inadequado ou ilícito.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§1º A política simplificada de segurança da informação deve levar em consideração os custos de implementação, bem como a estrutura, a escala e o volume das operações do agente de tratamento de pequeno porte, bem como a sensibilidade e a criticidade dos dados tratados diante dos direitos e liberdades do titular.</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§2º A ANPD considerará a existência das políticas simplificadas de segurança da informação para fins do disposto no art. 6º, inciso X e no art. 52, §1º, incisos VIII e IX da LGPD.</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TÍTULO IV</w:t>
      </w:r>
      <w:r w:rsidRPr="00A948CE">
        <w:rPr>
          <w:rFonts w:ascii="Arial" w:eastAsia="Times New Roman" w:hAnsi="Arial" w:cs="Arial"/>
          <w:sz w:val="20"/>
          <w:szCs w:val="20"/>
          <w:lang w:eastAsia="pt-BR"/>
        </w:rPr>
        <w:br/>
        <w:t>DOS PRAZOS DIFERENCIADOS</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16.   Aos agentes de tratamento de pequeno porte será concedido prazo em dobro:</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xml:space="preserve">I - </w:t>
      </w:r>
      <w:proofErr w:type="gramStart"/>
      <w:r w:rsidRPr="00A948CE">
        <w:rPr>
          <w:rFonts w:ascii="Arial" w:eastAsia="Times New Roman" w:hAnsi="Arial" w:cs="Arial"/>
          <w:sz w:val="20"/>
          <w:szCs w:val="20"/>
          <w:lang w:eastAsia="pt-BR"/>
        </w:rPr>
        <w:t>no</w:t>
      </w:r>
      <w:proofErr w:type="gramEnd"/>
      <w:r w:rsidRPr="00A948CE">
        <w:rPr>
          <w:rFonts w:ascii="Arial" w:eastAsia="Times New Roman" w:hAnsi="Arial" w:cs="Arial"/>
          <w:sz w:val="20"/>
          <w:szCs w:val="20"/>
          <w:lang w:eastAsia="pt-BR"/>
        </w:rPr>
        <w:t xml:space="preserve"> atendimento das solicitações dos titulares referentes ao tratamento de seus dados pessoais, conforme previsto no art. 18, parágrafos 3º e 5º, nos termos da resolução específica;</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xml:space="preserve">II - </w:t>
      </w:r>
      <w:proofErr w:type="gramStart"/>
      <w:r w:rsidRPr="00A948CE">
        <w:rPr>
          <w:rFonts w:ascii="Arial" w:eastAsia="Times New Roman" w:hAnsi="Arial" w:cs="Arial"/>
          <w:sz w:val="20"/>
          <w:szCs w:val="20"/>
          <w:lang w:eastAsia="pt-BR"/>
        </w:rPr>
        <w:t>na</w:t>
      </w:r>
      <w:proofErr w:type="gramEnd"/>
      <w:r w:rsidRPr="00A948CE">
        <w:rPr>
          <w:rFonts w:ascii="Arial" w:eastAsia="Times New Roman" w:hAnsi="Arial" w:cs="Arial"/>
          <w:sz w:val="20"/>
          <w:szCs w:val="20"/>
          <w:lang w:eastAsia="pt-BR"/>
        </w:rPr>
        <w:t xml:space="preserve"> comunicação à ANPD e ao titular da ocorrência de incidente de segurança que possa acarretar risco ou dano relevante aos titulares, nos termos da resolução específica, exceto quando houver potencial comprometimento à integridade dos titulares ou à segurança nacional, devendo, nesses casos, a comunicação atender aos prazos conferidos aos demais agentes de tratamento, conforme os termos da mencionada resolução;</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III - em relação aos prazos estabelecidos nos normativos próprios para a apresentação de informações, documentos, relatórios e registros solicitados pela ANPD a outros agentes de tratamento.</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Parágrafo único. Os prazos não especificados nesta resolução para agentes de tratamento de pequeno porte serão determinados por resoluções específicas.</w:t>
      </w:r>
    </w:p>
    <w:p w:rsidR="00A948CE" w:rsidRPr="00A948CE" w:rsidRDefault="00A948CE" w:rsidP="00A948CE">
      <w:pPr>
        <w:shd w:val="clear" w:color="auto" w:fill="FFFFFF"/>
        <w:spacing w:after="0" w:line="240" w:lineRule="auto"/>
        <w:jc w:val="center"/>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TÍTULO V </w:t>
      </w:r>
      <w:r w:rsidRPr="00A948CE">
        <w:rPr>
          <w:rFonts w:ascii="Arial" w:eastAsia="Times New Roman" w:hAnsi="Arial" w:cs="Arial"/>
          <w:sz w:val="20"/>
          <w:szCs w:val="20"/>
          <w:lang w:eastAsia="pt-BR"/>
        </w:rPr>
        <w:br/>
        <w:t>DISPOSIÇÕES FINAIS</w:t>
      </w: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p>
    <w:p w:rsidR="00A948CE" w:rsidRPr="00A948CE" w:rsidRDefault="00A948CE" w:rsidP="00A948CE">
      <w:pPr>
        <w:shd w:val="clear" w:color="auto" w:fill="FFFFFF"/>
        <w:spacing w:after="0" w:line="240" w:lineRule="auto"/>
        <w:textAlignment w:val="baseline"/>
        <w:rPr>
          <w:rFonts w:ascii="Arial" w:eastAsia="Times New Roman" w:hAnsi="Arial" w:cs="Arial"/>
          <w:sz w:val="20"/>
          <w:szCs w:val="20"/>
          <w:lang w:eastAsia="pt-BR"/>
        </w:rPr>
      </w:pPr>
      <w:bookmarkStart w:id="0" w:name="_GoBack"/>
      <w:bookmarkEnd w:id="0"/>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 xml:space="preserve">Art. 17. A ANPD divulgará guias </w:t>
      </w:r>
      <w:proofErr w:type="spellStart"/>
      <w:r w:rsidRPr="00A948CE">
        <w:rPr>
          <w:rFonts w:ascii="Arial" w:eastAsia="Times New Roman" w:hAnsi="Arial" w:cs="Arial"/>
          <w:sz w:val="20"/>
          <w:szCs w:val="20"/>
          <w:lang w:eastAsia="pt-BR"/>
        </w:rPr>
        <w:t>orientativos</w:t>
      </w:r>
      <w:proofErr w:type="spellEnd"/>
      <w:r w:rsidRPr="00A948CE">
        <w:rPr>
          <w:rFonts w:ascii="Arial" w:eastAsia="Times New Roman" w:hAnsi="Arial" w:cs="Arial"/>
          <w:sz w:val="20"/>
          <w:szCs w:val="20"/>
          <w:lang w:eastAsia="pt-BR"/>
        </w:rPr>
        <w:t xml:space="preserve"> de aplicação da LGPD para agentes de tratamento de pequeno porte.</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18. Resoluções específicas poderão dispor sobre outras normas de tratamento simplificado a agentes de tratamento de pequeno porte.</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19.  A ANPD poderá determinar ao agente de tratamento de pequeno porte o cumprimento de obrigações dispensadas ou flexibilizadas nesta Resolução, considerando as circunstâncias relevantes da situação, tais como a natureza e o volume das operações, os riscos para os titulares e a sensibilidade e a criticidade dos dados tratados.</w:t>
      </w:r>
      <w:r w:rsidRPr="00A829DD">
        <w:rPr>
          <w:rFonts w:ascii="Arial" w:eastAsia="Times New Roman" w:hAnsi="Arial" w:cs="Arial"/>
          <w:sz w:val="20"/>
          <w:szCs w:val="20"/>
          <w:lang w:eastAsia="pt-BR"/>
        </w:rPr>
        <w:t> </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Parágrafo único. A decisão de que trata o caput será motivada, assegurado o direito ao contraditório e à ampla defesa.</w:t>
      </w:r>
    </w:p>
    <w:p w:rsidR="00A948CE" w:rsidRPr="00A948CE" w:rsidRDefault="00A948CE" w:rsidP="00A948CE">
      <w:pPr>
        <w:shd w:val="clear" w:color="auto" w:fill="FFFFFF"/>
        <w:spacing w:after="240" w:line="240" w:lineRule="auto"/>
        <w:jc w:val="both"/>
        <w:textAlignment w:val="baseline"/>
        <w:rPr>
          <w:rFonts w:ascii="Arial" w:eastAsia="Times New Roman" w:hAnsi="Arial" w:cs="Arial"/>
          <w:sz w:val="20"/>
          <w:szCs w:val="20"/>
          <w:lang w:eastAsia="pt-BR"/>
        </w:rPr>
      </w:pPr>
      <w:r w:rsidRPr="00A948CE">
        <w:rPr>
          <w:rFonts w:ascii="Arial" w:eastAsia="Times New Roman" w:hAnsi="Arial" w:cs="Arial"/>
          <w:sz w:val="20"/>
          <w:szCs w:val="20"/>
          <w:lang w:eastAsia="pt-BR"/>
        </w:rPr>
        <w:t>Art. 20.   Esta resolução entra em vigor no dia 1º de XXXXX de XXXX</w:t>
      </w:r>
    </w:p>
    <w:p w:rsidR="00CB3935" w:rsidRPr="00A829DD" w:rsidRDefault="00C60FB9"/>
    <w:sectPr w:rsidR="00CB3935" w:rsidRPr="00A829D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B9" w:rsidRDefault="00C60FB9" w:rsidP="00A829DD">
      <w:pPr>
        <w:spacing w:after="0" w:line="240" w:lineRule="auto"/>
      </w:pPr>
      <w:r>
        <w:separator/>
      </w:r>
    </w:p>
  </w:endnote>
  <w:endnote w:type="continuationSeparator" w:id="0">
    <w:p w:rsidR="00C60FB9" w:rsidRDefault="00C60FB9" w:rsidP="00A8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B9" w:rsidRDefault="00C60FB9" w:rsidP="00A829DD">
      <w:pPr>
        <w:spacing w:after="0" w:line="240" w:lineRule="auto"/>
      </w:pPr>
      <w:r>
        <w:separator/>
      </w:r>
    </w:p>
  </w:footnote>
  <w:footnote w:type="continuationSeparator" w:id="0">
    <w:p w:rsidR="00C60FB9" w:rsidRDefault="00C60FB9" w:rsidP="00A82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9DD" w:rsidRDefault="00A829DD" w:rsidP="00A829DD">
    <w:pPr>
      <w:pStyle w:val="Cabealho"/>
      <w:jc w:val="center"/>
    </w:pPr>
    <w:r w:rsidRPr="00C908DB">
      <w:rPr>
        <w:noProof/>
        <w:lang w:eastAsia="pt-BR"/>
      </w:rPr>
      <w:drawing>
        <wp:inline distT="0" distB="0" distL="0" distR="0">
          <wp:extent cx="2082800" cy="607047"/>
          <wp:effectExtent l="0" t="0" r="0" b="3175"/>
          <wp:docPr id="1" name="Imagem 1" descr="C:\Users\nelice.rodrigues.FENACON\AppData\Local\Microsoft\Windows\Temporary Internet Files\Content.Word\Fenacon_nova_logo_ horizontal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lice.rodrigues.FENACON\AppData\Local\Microsoft\Windows\Temporary Internet Files\Content.Word\Fenacon_nova_logo_ horizontal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716" cy="6172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CE"/>
    <w:rsid w:val="00A64485"/>
    <w:rsid w:val="00A829DD"/>
    <w:rsid w:val="00A948CE"/>
    <w:rsid w:val="00C60FB9"/>
    <w:rsid w:val="00E528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8A08"/>
  <w15:chartTrackingRefBased/>
  <w15:docId w15:val="{645FE5F1-F134-4A25-BA57-7D8F1FE3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948CE"/>
    <w:rPr>
      <w:b/>
      <w:bCs/>
    </w:rPr>
  </w:style>
  <w:style w:type="paragraph" w:styleId="NormalWeb">
    <w:name w:val="Normal (Web)"/>
    <w:basedOn w:val="Normal"/>
    <w:uiPriority w:val="99"/>
    <w:semiHidden/>
    <w:unhideWhenUsed/>
    <w:rsid w:val="00A948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A829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29DD"/>
  </w:style>
  <w:style w:type="paragraph" w:styleId="Rodap">
    <w:name w:val="footer"/>
    <w:basedOn w:val="Normal"/>
    <w:link w:val="RodapChar"/>
    <w:uiPriority w:val="99"/>
    <w:unhideWhenUsed/>
    <w:rsid w:val="00A829DD"/>
    <w:pPr>
      <w:tabs>
        <w:tab w:val="center" w:pos="4252"/>
        <w:tab w:val="right" w:pos="8504"/>
      </w:tabs>
      <w:spacing w:after="0" w:line="240" w:lineRule="auto"/>
    </w:pPr>
  </w:style>
  <w:style w:type="character" w:customStyle="1" w:styleId="RodapChar">
    <w:name w:val="Rodapé Char"/>
    <w:basedOn w:val="Fontepargpadro"/>
    <w:link w:val="Rodap"/>
    <w:uiPriority w:val="99"/>
    <w:rsid w:val="00A8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40319">
      <w:bodyDiv w:val="1"/>
      <w:marLeft w:val="0"/>
      <w:marRight w:val="0"/>
      <w:marTop w:val="0"/>
      <w:marBottom w:val="0"/>
      <w:divBdr>
        <w:top w:val="none" w:sz="0" w:space="0" w:color="auto"/>
        <w:left w:val="none" w:sz="0" w:space="0" w:color="auto"/>
        <w:bottom w:val="none" w:sz="0" w:space="0" w:color="auto"/>
        <w:right w:val="none" w:sz="0" w:space="0" w:color="auto"/>
      </w:divBdr>
      <w:divsChild>
        <w:div w:id="2020816761">
          <w:blockQuote w:val="1"/>
          <w:marLeft w:val="0"/>
          <w:marRight w:val="0"/>
          <w:marTop w:val="0"/>
          <w:marBottom w:val="0"/>
          <w:divBdr>
            <w:top w:val="none" w:sz="0" w:space="0" w:color="auto"/>
            <w:left w:val="none" w:sz="0" w:space="0" w:color="auto"/>
            <w:bottom w:val="none" w:sz="0" w:space="0" w:color="auto"/>
            <w:right w:val="none" w:sz="0" w:space="0" w:color="auto"/>
          </w:divBdr>
        </w:div>
        <w:div w:id="849022605">
          <w:blockQuote w:val="1"/>
          <w:marLeft w:val="0"/>
          <w:marRight w:val="0"/>
          <w:marTop w:val="0"/>
          <w:marBottom w:val="0"/>
          <w:divBdr>
            <w:top w:val="none" w:sz="0" w:space="0" w:color="auto"/>
            <w:left w:val="none" w:sz="0" w:space="0" w:color="auto"/>
            <w:bottom w:val="none" w:sz="0" w:space="0" w:color="auto"/>
            <w:right w:val="none" w:sz="0" w:space="0" w:color="auto"/>
          </w:divBdr>
        </w:div>
        <w:div w:id="1368020928">
          <w:blockQuote w:val="1"/>
          <w:marLeft w:val="0"/>
          <w:marRight w:val="0"/>
          <w:marTop w:val="0"/>
          <w:marBottom w:val="0"/>
          <w:divBdr>
            <w:top w:val="none" w:sz="0" w:space="0" w:color="auto"/>
            <w:left w:val="none" w:sz="0" w:space="0" w:color="auto"/>
            <w:bottom w:val="none" w:sz="0" w:space="0" w:color="auto"/>
            <w:right w:val="none" w:sz="0" w:space="0" w:color="auto"/>
          </w:divBdr>
        </w:div>
        <w:div w:id="148181470">
          <w:marLeft w:val="0"/>
          <w:marRight w:val="0"/>
          <w:marTop w:val="0"/>
          <w:marBottom w:val="0"/>
          <w:divBdr>
            <w:top w:val="none" w:sz="0" w:space="0" w:color="auto"/>
            <w:left w:val="none" w:sz="0" w:space="0" w:color="auto"/>
            <w:bottom w:val="none" w:sz="0" w:space="0" w:color="auto"/>
            <w:right w:val="none" w:sz="0" w:space="0" w:color="auto"/>
          </w:divBdr>
        </w:div>
        <w:div w:id="2101902416">
          <w:marLeft w:val="0"/>
          <w:marRight w:val="0"/>
          <w:marTop w:val="0"/>
          <w:marBottom w:val="0"/>
          <w:divBdr>
            <w:top w:val="none" w:sz="0" w:space="0" w:color="auto"/>
            <w:left w:val="none" w:sz="0" w:space="0" w:color="auto"/>
            <w:bottom w:val="none" w:sz="0" w:space="0" w:color="auto"/>
            <w:right w:val="none" w:sz="0" w:space="0" w:color="auto"/>
          </w:divBdr>
        </w:div>
        <w:div w:id="793793490">
          <w:blockQuote w:val="1"/>
          <w:marLeft w:val="0"/>
          <w:marRight w:val="0"/>
          <w:marTop w:val="0"/>
          <w:marBottom w:val="0"/>
          <w:divBdr>
            <w:top w:val="none" w:sz="0" w:space="0" w:color="auto"/>
            <w:left w:val="none" w:sz="0" w:space="0" w:color="auto"/>
            <w:bottom w:val="none" w:sz="0" w:space="0" w:color="auto"/>
            <w:right w:val="none" w:sz="0" w:space="0" w:color="auto"/>
          </w:divBdr>
        </w:div>
        <w:div w:id="1206019819">
          <w:blockQuote w:val="1"/>
          <w:marLeft w:val="0"/>
          <w:marRight w:val="0"/>
          <w:marTop w:val="0"/>
          <w:marBottom w:val="0"/>
          <w:divBdr>
            <w:top w:val="none" w:sz="0" w:space="0" w:color="auto"/>
            <w:left w:val="none" w:sz="0" w:space="0" w:color="auto"/>
            <w:bottom w:val="none" w:sz="0" w:space="0" w:color="auto"/>
            <w:right w:val="none" w:sz="0" w:space="0" w:color="auto"/>
          </w:divBdr>
        </w:div>
        <w:div w:id="1712878001">
          <w:blockQuote w:val="1"/>
          <w:marLeft w:val="0"/>
          <w:marRight w:val="0"/>
          <w:marTop w:val="0"/>
          <w:marBottom w:val="0"/>
          <w:divBdr>
            <w:top w:val="none" w:sz="0" w:space="0" w:color="auto"/>
            <w:left w:val="none" w:sz="0" w:space="0" w:color="auto"/>
            <w:bottom w:val="none" w:sz="0" w:space="0" w:color="auto"/>
            <w:right w:val="none" w:sz="0" w:space="0" w:color="auto"/>
          </w:divBdr>
        </w:div>
        <w:div w:id="897742133">
          <w:blockQuote w:val="1"/>
          <w:marLeft w:val="0"/>
          <w:marRight w:val="0"/>
          <w:marTop w:val="0"/>
          <w:marBottom w:val="0"/>
          <w:divBdr>
            <w:top w:val="none" w:sz="0" w:space="0" w:color="auto"/>
            <w:left w:val="none" w:sz="0" w:space="0" w:color="auto"/>
            <w:bottom w:val="none" w:sz="0" w:space="0" w:color="auto"/>
            <w:right w:val="none" w:sz="0" w:space="0" w:color="auto"/>
          </w:divBdr>
        </w:div>
        <w:div w:id="782073832">
          <w:blockQuote w:val="1"/>
          <w:marLeft w:val="0"/>
          <w:marRight w:val="0"/>
          <w:marTop w:val="0"/>
          <w:marBottom w:val="0"/>
          <w:divBdr>
            <w:top w:val="none" w:sz="0" w:space="0" w:color="auto"/>
            <w:left w:val="none" w:sz="0" w:space="0" w:color="auto"/>
            <w:bottom w:val="none" w:sz="0" w:space="0" w:color="auto"/>
            <w:right w:val="none" w:sz="0" w:space="0" w:color="auto"/>
          </w:divBdr>
        </w:div>
        <w:div w:id="286811806">
          <w:marLeft w:val="0"/>
          <w:marRight w:val="0"/>
          <w:marTop w:val="0"/>
          <w:marBottom w:val="0"/>
          <w:divBdr>
            <w:top w:val="none" w:sz="0" w:space="0" w:color="auto"/>
            <w:left w:val="none" w:sz="0" w:space="0" w:color="auto"/>
            <w:bottom w:val="none" w:sz="0" w:space="0" w:color="auto"/>
            <w:right w:val="none" w:sz="0" w:space="0" w:color="auto"/>
          </w:divBdr>
        </w:div>
        <w:div w:id="1732850088">
          <w:blockQuote w:val="1"/>
          <w:marLeft w:val="0"/>
          <w:marRight w:val="0"/>
          <w:marTop w:val="0"/>
          <w:marBottom w:val="0"/>
          <w:divBdr>
            <w:top w:val="none" w:sz="0" w:space="0" w:color="auto"/>
            <w:left w:val="none" w:sz="0" w:space="0" w:color="auto"/>
            <w:bottom w:val="none" w:sz="0" w:space="0" w:color="auto"/>
            <w:right w:val="none" w:sz="0" w:space="0" w:color="auto"/>
          </w:divBdr>
        </w:div>
        <w:div w:id="379281993">
          <w:marLeft w:val="0"/>
          <w:marRight w:val="0"/>
          <w:marTop w:val="0"/>
          <w:marBottom w:val="0"/>
          <w:divBdr>
            <w:top w:val="none" w:sz="0" w:space="0" w:color="auto"/>
            <w:left w:val="none" w:sz="0" w:space="0" w:color="auto"/>
            <w:bottom w:val="none" w:sz="0" w:space="0" w:color="auto"/>
            <w:right w:val="none" w:sz="0" w:space="0" w:color="auto"/>
          </w:divBdr>
        </w:div>
        <w:div w:id="1066689044">
          <w:marLeft w:val="0"/>
          <w:marRight w:val="0"/>
          <w:marTop w:val="0"/>
          <w:marBottom w:val="0"/>
          <w:divBdr>
            <w:top w:val="none" w:sz="0" w:space="0" w:color="auto"/>
            <w:left w:val="none" w:sz="0" w:space="0" w:color="auto"/>
            <w:bottom w:val="none" w:sz="0" w:space="0" w:color="auto"/>
            <w:right w:val="none" w:sz="0" w:space="0" w:color="auto"/>
          </w:divBdr>
        </w:div>
        <w:div w:id="954755922">
          <w:marLeft w:val="0"/>
          <w:marRight w:val="0"/>
          <w:marTop w:val="0"/>
          <w:marBottom w:val="0"/>
          <w:divBdr>
            <w:top w:val="none" w:sz="0" w:space="0" w:color="auto"/>
            <w:left w:val="none" w:sz="0" w:space="0" w:color="auto"/>
            <w:bottom w:val="none" w:sz="0" w:space="0" w:color="auto"/>
            <w:right w:val="none" w:sz="0" w:space="0" w:color="auto"/>
          </w:divBdr>
        </w:div>
        <w:div w:id="1527056510">
          <w:marLeft w:val="0"/>
          <w:marRight w:val="0"/>
          <w:marTop w:val="0"/>
          <w:marBottom w:val="0"/>
          <w:divBdr>
            <w:top w:val="none" w:sz="0" w:space="0" w:color="auto"/>
            <w:left w:val="none" w:sz="0" w:space="0" w:color="auto"/>
            <w:bottom w:val="none" w:sz="0" w:space="0" w:color="auto"/>
            <w:right w:val="none" w:sz="0" w:space="0" w:color="auto"/>
          </w:divBdr>
        </w:div>
        <w:div w:id="1243875552">
          <w:marLeft w:val="0"/>
          <w:marRight w:val="0"/>
          <w:marTop w:val="0"/>
          <w:marBottom w:val="0"/>
          <w:divBdr>
            <w:top w:val="none" w:sz="0" w:space="0" w:color="auto"/>
            <w:left w:val="none" w:sz="0" w:space="0" w:color="auto"/>
            <w:bottom w:val="none" w:sz="0" w:space="0" w:color="auto"/>
            <w:right w:val="none" w:sz="0" w:space="0" w:color="auto"/>
          </w:divBdr>
        </w:div>
        <w:div w:id="193811161">
          <w:marLeft w:val="0"/>
          <w:marRight w:val="0"/>
          <w:marTop w:val="0"/>
          <w:marBottom w:val="0"/>
          <w:divBdr>
            <w:top w:val="none" w:sz="0" w:space="0" w:color="auto"/>
            <w:left w:val="none" w:sz="0" w:space="0" w:color="auto"/>
            <w:bottom w:val="none" w:sz="0" w:space="0" w:color="auto"/>
            <w:right w:val="none" w:sz="0" w:space="0" w:color="auto"/>
          </w:divBdr>
        </w:div>
        <w:div w:id="2026470081">
          <w:marLeft w:val="0"/>
          <w:marRight w:val="0"/>
          <w:marTop w:val="0"/>
          <w:marBottom w:val="0"/>
          <w:divBdr>
            <w:top w:val="none" w:sz="0" w:space="0" w:color="auto"/>
            <w:left w:val="none" w:sz="0" w:space="0" w:color="auto"/>
            <w:bottom w:val="none" w:sz="0" w:space="0" w:color="auto"/>
            <w:right w:val="none" w:sz="0" w:space="0" w:color="auto"/>
          </w:divBdr>
        </w:div>
        <w:div w:id="1647318306">
          <w:marLeft w:val="0"/>
          <w:marRight w:val="0"/>
          <w:marTop w:val="0"/>
          <w:marBottom w:val="0"/>
          <w:divBdr>
            <w:top w:val="none" w:sz="0" w:space="0" w:color="auto"/>
            <w:left w:val="none" w:sz="0" w:space="0" w:color="auto"/>
            <w:bottom w:val="none" w:sz="0" w:space="0" w:color="auto"/>
            <w:right w:val="none" w:sz="0" w:space="0" w:color="auto"/>
          </w:divBdr>
        </w:div>
        <w:div w:id="911086553">
          <w:marLeft w:val="0"/>
          <w:marRight w:val="0"/>
          <w:marTop w:val="0"/>
          <w:marBottom w:val="0"/>
          <w:divBdr>
            <w:top w:val="none" w:sz="0" w:space="0" w:color="auto"/>
            <w:left w:val="none" w:sz="0" w:space="0" w:color="auto"/>
            <w:bottom w:val="none" w:sz="0" w:space="0" w:color="auto"/>
            <w:right w:val="none" w:sz="0" w:space="0" w:color="auto"/>
          </w:divBdr>
        </w:div>
        <w:div w:id="1858421225">
          <w:marLeft w:val="0"/>
          <w:marRight w:val="0"/>
          <w:marTop w:val="0"/>
          <w:marBottom w:val="0"/>
          <w:divBdr>
            <w:top w:val="none" w:sz="0" w:space="0" w:color="auto"/>
            <w:left w:val="none" w:sz="0" w:space="0" w:color="auto"/>
            <w:bottom w:val="none" w:sz="0" w:space="0" w:color="auto"/>
            <w:right w:val="none" w:sz="0" w:space="0" w:color="auto"/>
          </w:divBdr>
        </w:div>
        <w:div w:id="491483301">
          <w:marLeft w:val="0"/>
          <w:marRight w:val="0"/>
          <w:marTop w:val="0"/>
          <w:marBottom w:val="0"/>
          <w:divBdr>
            <w:top w:val="none" w:sz="0" w:space="0" w:color="auto"/>
            <w:left w:val="none" w:sz="0" w:space="0" w:color="auto"/>
            <w:bottom w:val="none" w:sz="0" w:space="0" w:color="auto"/>
            <w:right w:val="none" w:sz="0" w:space="0" w:color="auto"/>
          </w:divBdr>
        </w:div>
        <w:div w:id="227810141">
          <w:marLeft w:val="0"/>
          <w:marRight w:val="0"/>
          <w:marTop w:val="0"/>
          <w:marBottom w:val="0"/>
          <w:divBdr>
            <w:top w:val="none" w:sz="0" w:space="0" w:color="auto"/>
            <w:left w:val="none" w:sz="0" w:space="0" w:color="auto"/>
            <w:bottom w:val="none" w:sz="0" w:space="0" w:color="auto"/>
            <w:right w:val="none" w:sz="0" w:space="0" w:color="auto"/>
          </w:divBdr>
        </w:div>
        <w:div w:id="1330870955">
          <w:marLeft w:val="0"/>
          <w:marRight w:val="0"/>
          <w:marTop w:val="0"/>
          <w:marBottom w:val="0"/>
          <w:divBdr>
            <w:top w:val="none" w:sz="0" w:space="0" w:color="auto"/>
            <w:left w:val="none" w:sz="0" w:space="0" w:color="auto"/>
            <w:bottom w:val="none" w:sz="0" w:space="0" w:color="auto"/>
            <w:right w:val="none" w:sz="0" w:space="0" w:color="auto"/>
          </w:divBdr>
        </w:div>
        <w:div w:id="652684861">
          <w:marLeft w:val="0"/>
          <w:marRight w:val="0"/>
          <w:marTop w:val="0"/>
          <w:marBottom w:val="0"/>
          <w:divBdr>
            <w:top w:val="none" w:sz="0" w:space="0" w:color="auto"/>
            <w:left w:val="none" w:sz="0" w:space="0" w:color="auto"/>
            <w:bottom w:val="none" w:sz="0" w:space="0" w:color="auto"/>
            <w:right w:val="none" w:sz="0" w:space="0" w:color="auto"/>
          </w:divBdr>
        </w:div>
        <w:div w:id="1702583516">
          <w:marLeft w:val="0"/>
          <w:marRight w:val="0"/>
          <w:marTop w:val="0"/>
          <w:marBottom w:val="0"/>
          <w:divBdr>
            <w:top w:val="none" w:sz="0" w:space="0" w:color="auto"/>
            <w:left w:val="none" w:sz="0" w:space="0" w:color="auto"/>
            <w:bottom w:val="none" w:sz="0" w:space="0" w:color="auto"/>
            <w:right w:val="none" w:sz="0" w:space="0" w:color="auto"/>
          </w:divBdr>
        </w:div>
        <w:div w:id="166600848">
          <w:marLeft w:val="0"/>
          <w:marRight w:val="0"/>
          <w:marTop w:val="0"/>
          <w:marBottom w:val="0"/>
          <w:divBdr>
            <w:top w:val="none" w:sz="0" w:space="0" w:color="auto"/>
            <w:left w:val="none" w:sz="0" w:space="0" w:color="auto"/>
            <w:bottom w:val="none" w:sz="0" w:space="0" w:color="auto"/>
            <w:right w:val="none" w:sz="0" w:space="0" w:color="auto"/>
          </w:divBdr>
        </w:div>
        <w:div w:id="1060514952">
          <w:marLeft w:val="0"/>
          <w:marRight w:val="0"/>
          <w:marTop w:val="0"/>
          <w:marBottom w:val="0"/>
          <w:divBdr>
            <w:top w:val="none" w:sz="0" w:space="0" w:color="auto"/>
            <w:left w:val="none" w:sz="0" w:space="0" w:color="auto"/>
            <w:bottom w:val="none" w:sz="0" w:space="0" w:color="auto"/>
            <w:right w:val="none" w:sz="0" w:space="0" w:color="auto"/>
          </w:divBdr>
        </w:div>
        <w:div w:id="1827741686">
          <w:marLeft w:val="0"/>
          <w:marRight w:val="0"/>
          <w:marTop w:val="0"/>
          <w:marBottom w:val="0"/>
          <w:divBdr>
            <w:top w:val="none" w:sz="0" w:space="0" w:color="auto"/>
            <w:left w:val="none" w:sz="0" w:space="0" w:color="auto"/>
            <w:bottom w:val="none" w:sz="0" w:space="0" w:color="auto"/>
            <w:right w:val="none" w:sz="0" w:space="0" w:color="auto"/>
          </w:divBdr>
        </w:div>
        <w:div w:id="849678498">
          <w:blockQuote w:val="1"/>
          <w:marLeft w:val="0"/>
          <w:marRight w:val="0"/>
          <w:marTop w:val="0"/>
          <w:marBottom w:val="0"/>
          <w:divBdr>
            <w:top w:val="none" w:sz="0" w:space="0" w:color="auto"/>
            <w:left w:val="none" w:sz="0" w:space="0" w:color="auto"/>
            <w:bottom w:val="none" w:sz="0" w:space="0" w:color="auto"/>
            <w:right w:val="none" w:sz="0" w:space="0" w:color="auto"/>
          </w:divBdr>
        </w:div>
        <w:div w:id="775835068">
          <w:blockQuote w:val="1"/>
          <w:marLeft w:val="0"/>
          <w:marRight w:val="0"/>
          <w:marTop w:val="0"/>
          <w:marBottom w:val="0"/>
          <w:divBdr>
            <w:top w:val="none" w:sz="0" w:space="0" w:color="auto"/>
            <w:left w:val="none" w:sz="0" w:space="0" w:color="auto"/>
            <w:bottom w:val="none" w:sz="0" w:space="0" w:color="auto"/>
            <w:right w:val="none" w:sz="0" w:space="0" w:color="auto"/>
          </w:divBdr>
        </w:div>
        <w:div w:id="991836069">
          <w:blockQuote w:val="1"/>
          <w:marLeft w:val="0"/>
          <w:marRight w:val="0"/>
          <w:marTop w:val="0"/>
          <w:marBottom w:val="0"/>
          <w:divBdr>
            <w:top w:val="none" w:sz="0" w:space="0" w:color="auto"/>
            <w:left w:val="none" w:sz="0" w:space="0" w:color="auto"/>
            <w:bottom w:val="none" w:sz="0" w:space="0" w:color="auto"/>
            <w:right w:val="none" w:sz="0" w:space="0" w:color="auto"/>
          </w:divBdr>
        </w:div>
        <w:div w:id="1097292571">
          <w:blockQuote w:val="1"/>
          <w:marLeft w:val="0"/>
          <w:marRight w:val="0"/>
          <w:marTop w:val="0"/>
          <w:marBottom w:val="0"/>
          <w:divBdr>
            <w:top w:val="none" w:sz="0" w:space="0" w:color="auto"/>
            <w:left w:val="none" w:sz="0" w:space="0" w:color="auto"/>
            <w:bottom w:val="none" w:sz="0" w:space="0" w:color="auto"/>
            <w:right w:val="none" w:sz="0" w:space="0" w:color="auto"/>
          </w:divBdr>
        </w:div>
        <w:div w:id="1310400991">
          <w:blockQuote w:val="1"/>
          <w:marLeft w:val="0"/>
          <w:marRight w:val="0"/>
          <w:marTop w:val="0"/>
          <w:marBottom w:val="0"/>
          <w:divBdr>
            <w:top w:val="none" w:sz="0" w:space="0" w:color="auto"/>
            <w:left w:val="none" w:sz="0" w:space="0" w:color="auto"/>
            <w:bottom w:val="none" w:sz="0" w:space="0" w:color="auto"/>
            <w:right w:val="none" w:sz="0" w:space="0" w:color="auto"/>
          </w:divBdr>
        </w:div>
        <w:div w:id="176698708">
          <w:marLeft w:val="0"/>
          <w:marRight w:val="0"/>
          <w:marTop w:val="0"/>
          <w:marBottom w:val="0"/>
          <w:divBdr>
            <w:top w:val="none" w:sz="0" w:space="0" w:color="auto"/>
            <w:left w:val="none" w:sz="0" w:space="0" w:color="auto"/>
            <w:bottom w:val="none" w:sz="0" w:space="0" w:color="auto"/>
            <w:right w:val="none" w:sz="0" w:space="0" w:color="auto"/>
          </w:divBdr>
        </w:div>
        <w:div w:id="1748842280">
          <w:blockQuote w:val="1"/>
          <w:marLeft w:val="0"/>
          <w:marRight w:val="0"/>
          <w:marTop w:val="0"/>
          <w:marBottom w:val="0"/>
          <w:divBdr>
            <w:top w:val="none" w:sz="0" w:space="0" w:color="auto"/>
            <w:left w:val="none" w:sz="0" w:space="0" w:color="auto"/>
            <w:bottom w:val="none" w:sz="0" w:space="0" w:color="auto"/>
            <w:right w:val="none" w:sz="0" w:space="0" w:color="auto"/>
          </w:divBdr>
        </w:div>
        <w:div w:id="337194295">
          <w:blockQuote w:val="1"/>
          <w:marLeft w:val="0"/>
          <w:marRight w:val="0"/>
          <w:marTop w:val="0"/>
          <w:marBottom w:val="0"/>
          <w:divBdr>
            <w:top w:val="none" w:sz="0" w:space="0" w:color="auto"/>
            <w:left w:val="none" w:sz="0" w:space="0" w:color="auto"/>
            <w:bottom w:val="none" w:sz="0" w:space="0" w:color="auto"/>
            <w:right w:val="none" w:sz="0" w:space="0" w:color="auto"/>
          </w:divBdr>
        </w:div>
        <w:div w:id="651325854">
          <w:blockQuote w:val="1"/>
          <w:marLeft w:val="0"/>
          <w:marRight w:val="0"/>
          <w:marTop w:val="0"/>
          <w:marBottom w:val="0"/>
          <w:divBdr>
            <w:top w:val="none" w:sz="0" w:space="0" w:color="auto"/>
            <w:left w:val="none" w:sz="0" w:space="0" w:color="auto"/>
            <w:bottom w:val="none" w:sz="0" w:space="0" w:color="auto"/>
            <w:right w:val="none" w:sz="0" w:space="0" w:color="auto"/>
          </w:divBdr>
        </w:div>
        <w:div w:id="1425228881">
          <w:blockQuote w:val="1"/>
          <w:marLeft w:val="0"/>
          <w:marRight w:val="0"/>
          <w:marTop w:val="0"/>
          <w:marBottom w:val="0"/>
          <w:divBdr>
            <w:top w:val="none" w:sz="0" w:space="0" w:color="auto"/>
            <w:left w:val="none" w:sz="0" w:space="0" w:color="auto"/>
            <w:bottom w:val="none" w:sz="0" w:space="0" w:color="auto"/>
            <w:right w:val="none" w:sz="0" w:space="0" w:color="auto"/>
          </w:divBdr>
        </w:div>
        <w:div w:id="2008441850">
          <w:blockQuote w:val="1"/>
          <w:marLeft w:val="0"/>
          <w:marRight w:val="0"/>
          <w:marTop w:val="0"/>
          <w:marBottom w:val="0"/>
          <w:divBdr>
            <w:top w:val="none" w:sz="0" w:space="0" w:color="auto"/>
            <w:left w:val="none" w:sz="0" w:space="0" w:color="auto"/>
            <w:bottom w:val="none" w:sz="0" w:space="0" w:color="auto"/>
            <w:right w:val="none" w:sz="0" w:space="0" w:color="auto"/>
          </w:divBdr>
        </w:div>
        <w:div w:id="99567453">
          <w:marLeft w:val="0"/>
          <w:marRight w:val="0"/>
          <w:marTop w:val="0"/>
          <w:marBottom w:val="0"/>
          <w:divBdr>
            <w:top w:val="none" w:sz="0" w:space="0" w:color="auto"/>
            <w:left w:val="none" w:sz="0" w:space="0" w:color="auto"/>
            <w:bottom w:val="none" w:sz="0" w:space="0" w:color="auto"/>
            <w:right w:val="none" w:sz="0" w:space="0" w:color="auto"/>
          </w:divBdr>
        </w:div>
        <w:div w:id="1497644777">
          <w:marLeft w:val="0"/>
          <w:marRight w:val="0"/>
          <w:marTop w:val="0"/>
          <w:marBottom w:val="0"/>
          <w:divBdr>
            <w:top w:val="none" w:sz="0" w:space="0" w:color="auto"/>
            <w:left w:val="none" w:sz="0" w:space="0" w:color="auto"/>
            <w:bottom w:val="none" w:sz="0" w:space="0" w:color="auto"/>
            <w:right w:val="none" w:sz="0" w:space="0" w:color="auto"/>
          </w:divBdr>
        </w:div>
        <w:div w:id="2074808702">
          <w:marLeft w:val="0"/>
          <w:marRight w:val="0"/>
          <w:marTop w:val="0"/>
          <w:marBottom w:val="0"/>
          <w:divBdr>
            <w:top w:val="none" w:sz="0" w:space="0" w:color="auto"/>
            <w:left w:val="none" w:sz="0" w:space="0" w:color="auto"/>
            <w:bottom w:val="none" w:sz="0" w:space="0" w:color="auto"/>
            <w:right w:val="none" w:sz="0" w:space="0" w:color="auto"/>
          </w:divBdr>
        </w:div>
        <w:div w:id="767697177">
          <w:marLeft w:val="0"/>
          <w:marRight w:val="0"/>
          <w:marTop w:val="0"/>
          <w:marBottom w:val="0"/>
          <w:divBdr>
            <w:top w:val="none" w:sz="0" w:space="0" w:color="auto"/>
            <w:left w:val="none" w:sz="0" w:space="0" w:color="auto"/>
            <w:bottom w:val="none" w:sz="0" w:space="0" w:color="auto"/>
            <w:right w:val="none" w:sz="0" w:space="0" w:color="auto"/>
          </w:divBdr>
        </w:div>
        <w:div w:id="1037199539">
          <w:marLeft w:val="0"/>
          <w:marRight w:val="0"/>
          <w:marTop w:val="0"/>
          <w:marBottom w:val="0"/>
          <w:divBdr>
            <w:top w:val="none" w:sz="0" w:space="0" w:color="auto"/>
            <w:left w:val="none" w:sz="0" w:space="0" w:color="auto"/>
            <w:bottom w:val="none" w:sz="0" w:space="0" w:color="auto"/>
            <w:right w:val="none" w:sz="0" w:space="0" w:color="auto"/>
          </w:divBdr>
        </w:div>
        <w:div w:id="1432819858">
          <w:marLeft w:val="0"/>
          <w:marRight w:val="0"/>
          <w:marTop w:val="0"/>
          <w:marBottom w:val="0"/>
          <w:divBdr>
            <w:top w:val="none" w:sz="0" w:space="0" w:color="auto"/>
            <w:left w:val="none" w:sz="0" w:space="0" w:color="auto"/>
            <w:bottom w:val="none" w:sz="0" w:space="0" w:color="auto"/>
            <w:right w:val="none" w:sz="0" w:space="0" w:color="auto"/>
          </w:divBdr>
        </w:div>
        <w:div w:id="440996591">
          <w:marLeft w:val="0"/>
          <w:marRight w:val="0"/>
          <w:marTop w:val="0"/>
          <w:marBottom w:val="0"/>
          <w:divBdr>
            <w:top w:val="none" w:sz="0" w:space="0" w:color="auto"/>
            <w:left w:val="none" w:sz="0" w:space="0" w:color="auto"/>
            <w:bottom w:val="none" w:sz="0" w:space="0" w:color="auto"/>
            <w:right w:val="none" w:sz="0" w:space="0" w:color="auto"/>
          </w:divBdr>
        </w:div>
        <w:div w:id="1866092979">
          <w:blockQuote w:val="1"/>
          <w:marLeft w:val="0"/>
          <w:marRight w:val="0"/>
          <w:marTop w:val="0"/>
          <w:marBottom w:val="0"/>
          <w:divBdr>
            <w:top w:val="none" w:sz="0" w:space="0" w:color="auto"/>
            <w:left w:val="none" w:sz="0" w:space="0" w:color="auto"/>
            <w:bottom w:val="none" w:sz="0" w:space="0" w:color="auto"/>
            <w:right w:val="none" w:sz="0" w:space="0" w:color="auto"/>
          </w:divBdr>
        </w:div>
        <w:div w:id="1515995144">
          <w:blockQuote w:val="1"/>
          <w:marLeft w:val="0"/>
          <w:marRight w:val="0"/>
          <w:marTop w:val="0"/>
          <w:marBottom w:val="0"/>
          <w:divBdr>
            <w:top w:val="none" w:sz="0" w:space="0" w:color="auto"/>
            <w:left w:val="none" w:sz="0" w:space="0" w:color="auto"/>
            <w:bottom w:val="none" w:sz="0" w:space="0" w:color="auto"/>
            <w:right w:val="none" w:sz="0" w:space="0" w:color="auto"/>
          </w:divBdr>
        </w:div>
        <w:div w:id="122382836">
          <w:blockQuote w:val="1"/>
          <w:marLeft w:val="0"/>
          <w:marRight w:val="0"/>
          <w:marTop w:val="0"/>
          <w:marBottom w:val="0"/>
          <w:divBdr>
            <w:top w:val="none" w:sz="0" w:space="0" w:color="auto"/>
            <w:left w:val="none" w:sz="0" w:space="0" w:color="auto"/>
            <w:bottom w:val="none" w:sz="0" w:space="0" w:color="auto"/>
            <w:right w:val="none" w:sz="0" w:space="0" w:color="auto"/>
          </w:divBdr>
        </w:div>
        <w:div w:id="1425418864">
          <w:marLeft w:val="0"/>
          <w:marRight w:val="0"/>
          <w:marTop w:val="0"/>
          <w:marBottom w:val="0"/>
          <w:divBdr>
            <w:top w:val="none" w:sz="0" w:space="0" w:color="auto"/>
            <w:left w:val="none" w:sz="0" w:space="0" w:color="auto"/>
            <w:bottom w:val="none" w:sz="0" w:space="0" w:color="auto"/>
            <w:right w:val="none" w:sz="0" w:space="0" w:color="auto"/>
          </w:divBdr>
        </w:div>
        <w:div w:id="652107038">
          <w:marLeft w:val="0"/>
          <w:marRight w:val="0"/>
          <w:marTop w:val="0"/>
          <w:marBottom w:val="0"/>
          <w:divBdr>
            <w:top w:val="none" w:sz="0" w:space="0" w:color="auto"/>
            <w:left w:val="none" w:sz="0" w:space="0" w:color="auto"/>
            <w:bottom w:val="none" w:sz="0" w:space="0" w:color="auto"/>
            <w:right w:val="none" w:sz="0" w:space="0" w:color="auto"/>
          </w:divBdr>
        </w:div>
        <w:div w:id="1928268805">
          <w:blockQuote w:val="1"/>
          <w:marLeft w:val="0"/>
          <w:marRight w:val="0"/>
          <w:marTop w:val="0"/>
          <w:marBottom w:val="0"/>
          <w:divBdr>
            <w:top w:val="none" w:sz="0" w:space="0" w:color="auto"/>
            <w:left w:val="none" w:sz="0" w:space="0" w:color="auto"/>
            <w:bottom w:val="none" w:sz="0" w:space="0" w:color="auto"/>
            <w:right w:val="none" w:sz="0" w:space="0" w:color="auto"/>
          </w:divBdr>
        </w:div>
        <w:div w:id="858738432">
          <w:blockQuote w:val="1"/>
          <w:marLeft w:val="0"/>
          <w:marRight w:val="0"/>
          <w:marTop w:val="0"/>
          <w:marBottom w:val="0"/>
          <w:divBdr>
            <w:top w:val="none" w:sz="0" w:space="0" w:color="auto"/>
            <w:left w:val="none" w:sz="0" w:space="0" w:color="auto"/>
            <w:bottom w:val="none" w:sz="0" w:space="0" w:color="auto"/>
            <w:right w:val="none" w:sz="0" w:space="0" w:color="auto"/>
          </w:divBdr>
        </w:div>
        <w:div w:id="1117945650">
          <w:marLeft w:val="0"/>
          <w:marRight w:val="0"/>
          <w:marTop w:val="0"/>
          <w:marBottom w:val="0"/>
          <w:divBdr>
            <w:top w:val="none" w:sz="0" w:space="0" w:color="auto"/>
            <w:left w:val="none" w:sz="0" w:space="0" w:color="auto"/>
            <w:bottom w:val="none" w:sz="0" w:space="0" w:color="auto"/>
            <w:right w:val="none" w:sz="0" w:space="0" w:color="auto"/>
          </w:divBdr>
        </w:div>
        <w:div w:id="1563174826">
          <w:blockQuote w:val="1"/>
          <w:marLeft w:val="0"/>
          <w:marRight w:val="0"/>
          <w:marTop w:val="0"/>
          <w:marBottom w:val="0"/>
          <w:divBdr>
            <w:top w:val="none" w:sz="0" w:space="0" w:color="auto"/>
            <w:left w:val="none" w:sz="0" w:space="0" w:color="auto"/>
            <w:bottom w:val="none" w:sz="0" w:space="0" w:color="auto"/>
            <w:right w:val="none" w:sz="0" w:space="0" w:color="auto"/>
          </w:divBdr>
        </w:div>
        <w:div w:id="1024018268">
          <w:blockQuote w:val="1"/>
          <w:marLeft w:val="0"/>
          <w:marRight w:val="0"/>
          <w:marTop w:val="0"/>
          <w:marBottom w:val="0"/>
          <w:divBdr>
            <w:top w:val="none" w:sz="0" w:space="0" w:color="auto"/>
            <w:left w:val="none" w:sz="0" w:space="0" w:color="auto"/>
            <w:bottom w:val="none" w:sz="0" w:space="0" w:color="auto"/>
            <w:right w:val="none" w:sz="0" w:space="0" w:color="auto"/>
          </w:divBdr>
        </w:div>
        <w:div w:id="669792393">
          <w:marLeft w:val="0"/>
          <w:marRight w:val="0"/>
          <w:marTop w:val="0"/>
          <w:marBottom w:val="0"/>
          <w:divBdr>
            <w:top w:val="none" w:sz="0" w:space="0" w:color="auto"/>
            <w:left w:val="none" w:sz="0" w:space="0" w:color="auto"/>
            <w:bottom w:val="none" w:sz="0" w:space="0" w:color="auto"/>
            <w:right w:val="none" w:sz="0" w:space="0" w:color="auto"/>
          </w:divBdr>
        </w:div>
        <w:div w:id="172577086">
          <w:blockQuote w:val="1"/>
          <w:marLeft w:val="0"/>
          <w:marRight w:val="0"/>
          <w:marTop w:val="0"/>
          <w:marBottom w:val="0"/>
          <w:divBdr>
            <w:top w:val="none" w:sz="0" w:space="0" w:color="auto"/>
            <w:left w:val="none" w:sz="0" w:space="0" w:color="auto"/>
            <w:bottom w:val="none" w:sz="0" w:space="0" w:color="auto"/>
            <w:right w:val="none" w:sz="0" w:space="0" w:color="auto"/>
          </w:divBdr>
        </w:div>
        <w:div w:id="1332220540">
          <w:blockQuote w:val="1"/>
          <w:marLeft w:val="0"/>
          <w:marRight w:val="0"/>
          <w:marTop w:val="0"/>
          <w:marBottom w:val="0"/>
          <w:divBdr>
            <w:top w:val="none" w:sz="0" w:space="0" w:color="auto"/>
            <w:left w:val="none" w:sz="0" w:space="0" w:color="auto"/>
            <w:bottom w:val="none" w:sz="0" w:space="0" w:color="auto"/>
            <w:right w:val="none" w:sz="0" w:space="0" w:color="auto"/>
          </w:divBdr>
        </w:div>
        <w:div w:id="441339864">
          <w:blockQuote w:val="1"/>
          <w:marLeft w:val="0"/>
          <w:marRight w:val="0"/>
          <w:marTop w:val="0"/>
          <w:marBottom w:val="0"/>
          <w:divBdr>
            <w:top w:val="none" w:sz="0" w:space="0" w:color="auto"/>
            <w:left w:val="none" w:sz="0" w:space="0" w:color="auto"/>
            <w:bottom w:val="none" w:sz="0" w:space="0" w:color="auto"/>
            <w:right w:val="none" w:sz="0" w:space="0" w:color="auto"/>
          </w:divBdr>
        </w:div>
        <w:div w:id="929235191">
          <w:marLeft w:val="0"/>
          <w:marRight w:val="0"/>
          <w:marTop w:val="0"/>
          <w:marBottom w:val="0"/>
          <w:divBdr>
            <w:top w:val="none" w:sz="0" w:space="0" w:color="auto"/>
            <w:left w:val="none" w:sz="0" w:space="0" w:color="auto"/>
            <w:bottom w:val="none" w:sz="0" w:space="0" w:color="auto"/>
            <w:right w:val="none" w:sz="0" w:space="0" w:color="auto"/>
          </w:divBdr>
        </w:div>
        <w:div w:id="82921946">
          <w:marLeft w:val="0"/>
          <w:marRight w:val="0"/>
          <w:marTop w:val="0"/>
          <w:marBottom w:val="0"/>
          <w:divBdr>
            <w:top w:val="none" w:sz="0" w:space="0" w:color="auto"/>
            <w:left w:val="none" w:sz="0" w:space="0" w:color="auto"/>
            <w:bottom w:val="none" w:sz="0" w:space="0" w:color="auto"/>
            <w:right w:val="none" w:sz="0" w:space="0" w:color="auto"/>
          </w:divBdr>
        </w:div>
        <w:div w:id="1185748712">
          <w:blockQuote w:val="1"/>
          <w:marLeft w:val="0"/>
          <w:marRight w:val="0"/>
          <w:marTop w:val="0"/>
          <w:marBottom w:val="0"/>
          <w:divBdr>
            <w:top w:val="none" w:sz="0" w:space="0" w:color="auto"/>
            <w:left w:val="none" w:sz="0" w:space="0" w:color="auto"/>
            <w:bottom w:val="none" w:sz="0" w:space="0" w:color="auto"/>
            <w:right w:val="none" w:sz="0" w:space="0" w:color="auto"/>
          </w:divBdr>
        </w:div>
        <w:div w:id="1276402651">
          <w:blockQuote w:val="1"/>
          <w:marLeft w:val="0"/>
          <w:marRight w:val="0"/>
          <w:marTop w:val="0"/>
          <w:marBottom w:val="0"/>
          <w:divBdr>
            <w:top w:val="none" w:sz="0" w:space="0" w:color="auto"/>
            <w:left w:val="none" w:sz="0" w:space="0" w:color="auto"/>
            <w:bottom w:val="none" w:sz="0" w:space="0" w:color="auto"/>
            <w:right w:val="none" w:sz="0" w:space="0" w:color="auto"/>
          </w:divBdr>
        </w:div>
        <w:div w:id="261113060">
          <w:marLeft w:val="0"/>
          <w:marRight w:val="0"/>
          <w:marTop w:val="0"/>
          <w:marBottom w:val="0"/>
          <w:divBdr>
            <w:top w:val="none" w:sz="0" w:space="0" w:color="auto"/>
            <w:left w:val="none" w:sz="0" w:space="0" w:color="auto"/>
            <w:bottom w:val="none" w:sz="0" w:space="0" w:color="auto"/>
            <w:right w:val="none" w:sz="0" w:space="0" w:color="auto"/>
          </w:divBdr>
        </w:div>
        <w:div w:id="90591928">
          <w:marLeft w:val="0"/>
          <w:marRight w:val="0"/>
          <w:marTop w:val="0"/>
          <w:marBottom w:val="0"/>
          <w:divBdr>
            <w:top w:val="none" w:sz="0" w:space="0" w:color="auto"/>
            <w:left w:val="none" w:sz="0" w:space="0" w:color="auto"/>
            <w:bottom w:val="none" w:sz="0" w:space="0" w:color="auto"/>
            <w:right w:val="none" w:sz="0" w:space="0" w:color="auto"/>
          </w:divBdr>
        </w:div>
        <w:div w:id="1815439771">
          <w:marLeft w:val="0"/>
          <w:marRight w:val="0"/>
          <w:marTop w:val="0"/>
          <w:marBottom w:val="0"/>
          <w:divBdr>
            <w:top w:val="none" w:sz="0" w:space="0" w:color="auto"/>
            <w:left w:val="none" w:sz="0" w:space="0" w:color="auto"/>
            <w:bottom w:val="none" w:sz="0" w:space="0" w:color="auto"/>
            <w:right w:val="none" w:sz="0" w:space="0" w:color="auto"/>
          </w:divBdr>
        </w:div>
        <w:div w:id="174081928">
          <w:marLeft w:val="0"/>
          <w:marRight w:val="0"/>
          <w:marTop w:val="0"/>
          <w:marBottom w:val="0"/>
          <w:divBdr>
            <w:top w:val="none" w:sz="0" w:space="0" w:color="auto"/>
            <w:left w:val="none" w:sz="0" w:space="0" w:color="auto"/>
            <w:bottom w:val="none" w:sz="0" w:space="0" w:color="auto"/>
            <w:right w:val="none" w:sz="0" w:space="0" w:color="auto"/>
          </w:divBdr>
        </w:div>
        <w:div w:id="1198931948">
          <w:marLeft w:val="0"/>
          <w:marRight w:val="0"/>
          <w:marTop w:val="0"/>
          <w:marBottom w:val="0"/>
          <w:divBdr>
            <w:top w:val="none" w:sz="0" w:space="0" w:color="auto"/>
            <w:left w:val="none" w:sz="0" w:space="0" w:color="auto"/>
            <w:bottom w:val="none" w:sz="0" w:space="0" w:color="auto"/>
            <w:right w:val="none" w:sz="0" w:space="0" w:color="auto"/>
          </w:divBdr>
        </w:div>
        <w:div w:id="1830752745">
          <w:blockQuote w:val="1"/>
          <w:marLeft w:val="0"/>
          <w:marRight w:val="0"/>
          <w:marTop w:val="0"/>
          <w:marBottom w:val="0"/>
          <w:divBdr>
            <w:top w:val="none" w:sz="0" w:space="0" w:color="auto"/>
            <w:left w:val="none" w:sz="0" w:space="0" w:color="auto"/>
            <w:bottom w:val="none" w:sz="0" w:space="0" w:color="auto"/>
            <w:right w:val="none" w:sz="0" w:space="0" w:color="auto"/>
          </w:divBdr>
        </w:div>
        <w:div w:id="431781336">
          <w:blockQuote w:val="1"/>
          <w:marLeft w:val="0"/>
          <w:marRight w:val="0"/>
          <w:marTop w:val="0"/>
          <w:marBottom w:val="0"/>
          <w:divBdr>
            <w:top w:val="none" w:sz="0" w:space="0" w:color="auto"/>
            <w:left w:val="none" w:sz="0" w:space="0" w:color="auto"/>
            <w:bottom w:val="none" w:sz="0" w:space="0" w:color="auto"/>
            <w:right w:val="none" w:sz="0" w:space="0" w:color="auto"/>
          </w:divBdr>
        </w:div>
        <w:div w:id="278609706">
          <w:marLeft w:val="0"/>
          <w:marRight w:val="0"/>
          <w:marTop w:val="0"/>
          <w:marBottom w:val="0"/>
          <w:divBdr>
            <w:top w:val="none" w:sz="0" w:space="0" w:color="auto"/>
            <w:left w:val="none" w:sz="0" w:space="0" w:color="auto"/>
            <w:bottom w:val="none" w:sz="0" w:space="0" w:color="auto"/>
            <w:right w:val="none" w:sz="0" w:space="0" w:color="auto"/>
          </w:divBdr>
        </w:div>
        <w:div w:id="1503159678">
          <w:marLeft w:val="0"/>
          <w:marRight w:val="0"/>
          <w:marTop w:val="0"/>
          <w:marBottom w:val="0"/>
          <w:divBdr>
            <w:top w:val="none" w:sz="0" w:space="0" w:color="auto"/>
            <w:left w:val="none" w:sz="0" w:space="0" w:color="auto"/>
            <w:bottom w:val="none" w:sz="0" w:space="0" w:color="auto"/>
            <w:right w:val="none" w:sz="0" w:space="0" w:color="auto"/>
          </w:divBdr>
        </w:div>
        <w:div w:id="1241015001">
          <w:marLeft w:val="0"/>
          <w:marRight w:val="0"/>
          <w:marTop w:val="0"/>
          <w:marBottom w:val="0"/>
          <w:divBdr>
            <w:top w:val="none" w:sz="0" w:space="0" w:color="auto"/>
            <w:left w:val="none" w:sz="0" w:space="0" w:color="auto"/>
            <w:bottom w:val="none" w:sz="0" w:space="0" w:color="auto"/>
            <w:right w:val="none" w:sz="0" w:space="0" w:color="auto"/>
          </w:divBdr>
        </w:div>
        <w:div w:id="1183587041">
          <w:marLeft w:val="0"/>
          <w:marRight w:val="0"/>
          <w:marTop w:val="0"/>
          <w:marBottom w:val="0"/>
          <w:divBdr>
            <w:top w:val="none" w:sz="0" w:space="0" w:color="auto"/>
            <w:left w:val="none" w:sz="0" w:space="0" w:color="auto"/>
            <w:bottom w:val="none" w:sz="0" w:space="0" w:color="auto"/>
            <w:right w:val="none" w:sz="0" w:space="0" w:color="auto"/>
          </w:divBdr>
        </w:div>
        <w:div w:id="689256736">
          <w:marLeft w:val="0"/>
          <w:marRight w:val="0"/>
          <w:marTop w:val="0"/>
          <w:marBottom w:val="0"/>
          <w:divBdr>
            <w:top w:val="none" w:sz="0" w:space="0" w:color="auto"/>
            <w:left w:val="none" w:sz="0" w:space="0" w:color="auto"/>
            <w:bottom w:val="none" w:sz="0" w:space="0" w:color="auto"/>
            <w:right w:val="none" w:sz="0" w:space="0" w:color="auto"/>
          </w:divBdr>
        </w:div>
        <w:div w:id="688071527">
          <w:blockQuote w:val="1"/>
          <w:marLeft w:val="0"/>
          <w:marRight w:val="0"/>
          <w:marTop w:val="0"/>
          <w:marBottom w:val="0"/>
          <w:divBdr>
            <w:top w:val="none" w:sz="0" w:space="0" w:color="auto"/>
            <w:left w:val="none" w:sz="0" w:space="0" w:color="auto"/>
            <w:bottom w:val="none" w:sz="0" w:space="0" w:color="auto"/>
            <w:right w:val="none" w:sz="0" w:space="0" w:color="auto"/>
          </w:divBdr>
        </w:div>
        <w:div w:id="949362933">
          <w:marLeft w:val="0"/>
          <w:marRight w:val="0"/>
          <w:marTop w:val="0"/>
          <w:marBottom w:val="0"/>
          <w:divBdr>
            <w:top w:val="none" w:sz="0" w:space="0" w:color="auto"/>
            <w:left w:val="none" w:sz="0" w:space="0" w:color="auto"/>
            <w:bottom w:val="none" w:sz="0" w:space="0" w:color="auto"/>
            <w:right w:val="none" w:sz="0" w:space="0" w:color="auto"/>
          </w:divBdr>
        </w:div>
        <w:div w:id="1809275916">
          <w:marLeft w:val="0"/>
          <w:marRight w:val="0"/>
          <w:marTop w:val="0"/>
          <w:marBottom w:val="0"/>
          <w:divBdr>
            <w:top w:val="none" w:sz="0" w:space="0" w:color="auto"/>
            <w:left w:val="none" w:sz="0" w:space="0" w:color="auto"/>
            <w:bottom w:val="none" w:sz="0" w:space="0" w:color="auto"/>
            <w:right w:val="none" w:sz="0" w:space="0" w:color="auto"/>
          </w:divBdr>
        </w:div>
        <w:div w:id="1503396115">
          <w:marLeft w:val="0"/>
          <w:marRight w:val="0"/>
          <w:marTop w:val="0"/>
          <w:marBottom w:val="0"/>
          <w:divBdr>
            <w:top w:val="none" w:sz="0" w:space="0" w:color="auto"/>
            <w:left w:val="none" w:sz="0" w:space="0" w:color="auto"/>
            <w:bottom w:val="none" w:sz="0" w:space="0" w:color="auto"/>
            <w:right w:val="none" w:sz="0" w:space="0" w:color="auto"/>
          </w:divBdr>
        </w:div>
        <w:div w:id="896670686">
          <w:marLeft w:val="0"/>
          <w:marRight w:val="0"/>
          <w:marTop w:val="0"/>
          <w:marBottom w:val="0"/>
          <w:divBdr>
            <w:top w:val="none" w:sz="0" w:space="0" w:color="auto"/>
            <w:left w:val="none" w:sz="0" w:space="0" w:color="auto"/>
            <w:bottom w:val="none" w:sz="0" w:space="0" w:color="auto"/>
            <w:right w:val="none" w:sz="0" w:space="0" w:color="auto"/>
          </w:divBdr>
        </w:div>
        <w:div w:id="728261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1793</Words>
  <Characters>9687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Keila Saito</dc:creator>
  <cp:keywords/>
  <dc:description/>
  <cp:lastModifiedBy>Keila Saito</cp:lastModifiedBy>
  <cp:revision>2</cp:revision>
  <dcterms:created xsi:type="dcterms:W3CDTF">2021-09-21T12:22:00Z</dcterms:created>
  <dcterms:modified xsi:type="dcterms:W3CDTF">2021-09-21T12:32:00Z</dcterms:modified>
</cp:coreProperties>
</file>